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62" w:rsidRPr="00460028" w:rsidRDefault="001B28F8" w:rsidP="00857962">
      <w:pPr>
        <w:pStyle w:val="Titel"/>
      </w:pPr>
      <w:r>
        <w:rPr>
          <w:noProof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">
              <w:txbxContent>
                <w:p w:rsidR="00460028" w:rsidRDefault="00460028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  <w:lang w:val="de-DE" w:eastAsia="de-DE"/>
        </w:rPr>
        <w:pict>
          <v:line id="Line 116" o:spid="_x0000_s1030" style="position:absolute;left:0;text-align:left;flip:y;z-index:251659776;visibility:visible;mso-wrap-distance-left:3.17497mm;mso-wrap-distance-right:3.17497mm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  <w:lang w:val="de-DE" w:eastAsia="de-DE"/>
        </w:rPr>
        <w:pict>
          <v:shape id="Text Box 114" o:spid="_x0000_s1027" type="#_x0000_t202" style="position:absolute;left:0;text-align:left;margin-left:-193.15pt;margin-top:447.95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070873">
                    <w:rPr>
                      <w:rFonts w:cs="Arial"/>
                      <w:color w:val="000000"/>
                      <w:lang w:val="fr-FR"/>
                    </w:rPr>
                    <w:t xml:space="preserve">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val="de-DE" w:eastAsia="de-DE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>
              <w:txbxContent>
                <w:p w:rsidR="00460028" w:rsidRPr="0044047B" w:rsidRDefault="0041346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10, rue des Gaudines</w:t>
                  </w:r>
                </w:p>
                <w:p w:rsidR="00460028" w:rsidRPr="0044047B" w:rsidRDefault="00F9544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Saint Germain en Laye, France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+33 1 34 51 70 0</w:t>
                  </w:r>
                  <w:r w:rsidR="00070873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Fax:</w:t>
                  </w:r>
                  <w:r w:rsidR="00F9544D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Pr="00832853" w:rsidRDefault="00985597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de-DE"/>
                    </w:rPr>
                  </w:pPr>
                  <w:r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>e</w:t>
                  </w:r>
                  <w:r w:rsidR="0044047B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 xml:space="preserve">-mail: </w:t>
                  </w:r>
                  <w:hyperlink r:id="rId8" w:history="1">
                    <w:r w:rsidR="009B28ED" w:rsidRPr="00832853">
                      <w:rPr>
                        <w:rStyle w:val="Hyperlink"/>
                        <w:rFonts w:cs="Arial"/>
                        <w:sz w:val="20"/>
                        <w:szCs w:val="18"/>
                        <w:lang w:val="de-DE"/>
                      </w:rPr>
                      <w:t>contact@iala-aism.org</w:t>
                    </w:r>
                  </w:hyperlink>
                  <w:r w:rsidR="00070873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 xml:space="preserve">       </w:t>
                  </w:r>
                  <w:r w:rsidR="00460028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>Internet</w:t>
                  </w:r>
                  <w:r w:rsidR="0044047B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 xml:space="preserve">: </w:t>
                  </w:r>
                  <w:r w:rsidR="00460028" w:rsidRPr="00832853">
                    <w:rPr>
                      <w:rFonts w:cs="Arial"/>
                      <w:color w:val="000000"/>
                      <w:sz w:val="20"/>
                      <w:szCs w:val="18"/>
                      <w:lang w:val="de-DE"/>
                    </w:rPr>
                    <w:t xml:space="preserve"> </w:t>
                  </w:r>
                  <w:hyperlink r:id="rId9" w:history="1">
                    <w:r w:rsidR="00070873" w:rsidRPr="00832853">
                      <w:rPr>
                        <w:rStyle w:val="Hyperlink"/>
                        <w:rFonts w:cs="Arial"/>
                        <w:sz w:val="20"/>
                        <w:szCs w:val="18"/>
                        <w:lang w:val="de-DE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9B28ED"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de-DE" w:eastAsia="de-DE"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>
              <w:txbxContent>
                <w:p w:rsid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Recommendation</w:t>
                  </w:r>
                </w:p>
                <w:p w:rsidR="00460028" w:rsidRPr="00D54204" w:rsidRDefault="00274C3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ENAV</w:t>
                  </w:r>
                  <w:r w:rsidR="0044047B" w:rsidRP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-</w:t>
                  </w:r>
                  <w:r w:rsid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44047B"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  <w:r w:rsidR="0044047B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- </w:t>
                  </w:r>
                  <w:r w:rsidR="005D08CF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Appendix </w:t>
                  </w:r>
                  <w:r w:rsidR="00D54204" w:rsidRPr="00D54204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1</w:t>
                  </w:r>
                  <w:r w:rsidR="00921D5F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3</w:t>
                  </w:r>
                </w:p>
                <w:p w:rsidR="00460028" w:rsidRPr="00D54204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D54204" w:rsidRDefault="00921D5F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Efficient Operation and Maintenance of a service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404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Working Towards]</w:t>
                  </w:r>
                  <w:r w:rsidR="00274C3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46002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Edition</w:t>
                  </w:r>
                  <w:r w:rsidR="00274C3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1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404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2015</w:t>
                  </w: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274C3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274C38">
                    <w:rPr>
                      <w:rFonts w:cs="Arial"/>
                      <w:b/>
                      <w:bCs/>
                      <w:color w:val="000000"/>
                    </w:rPr>
                    <w:t>Initial Version</w:t>
                  </w:r>
                </w:p>
              </w:txbxContent>
            </v:textbox>
          </v:shape>
        </w:pic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32853" w:rsidP="00AF615B">
            <w:pPr>
              <w:pStyle w:val="Plattetekst"/>
              <w:rPr>
                <w:highlight w:val="yellow"/>
              </w:rPr>
            </w:pPr>
            <w:r>
              <w:rPr>
                <w:highlight w:val="yellow"/>
              </w:rPr>
              <w:t>26.08.2014</w:t>
            </w:r>
          </w:p>
        </w:tc>
        <w:tc>
          <w:tcPr>
            <w:tcW w:w="3360" w:type="dxa"/>
            <w:vAlign w:val="center"/>
          </w:tcPr>
          <w:p w:rsidR="00857962" w:rsidRPr="00460028" w:rsidRDefault="00832853" w:rsidP="00AF615B">
            <w:pPr>
              <w:pStyle w:val="Plattetekst"/>
              <w:rPr>
                <w:highlight w:val="yellow"/>
              </w:rPr>
            </w:pPr>
            <w:r>
              <w:rPr>
                <w:highlight w:val="yellow"/>
              </w:rPr>
              <w:t>Initial Version</w:t>
            </w: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</w:tbl>
    <w:p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:rsidR="009E1230" w:rsidRPr="00DF6EB4" w:rsidRDefault="005D08CF" w:rsidP="00DF6EB4">
      <w:pPr>
        <w:pStyle w:val="Bloktekst"/>
      </w:pPr>
      <w:r w:rsidRPr="00921D5F">
        <w:t xml:space="preserve">Appendix </w:t>
      </w:r>
      <w:r w:rsidR="00D54204" w:rsidRPr="00921D5F">
        <w:t>1</w:t>
      </w:r>
      <w:r w:rsidR="00921D5F" w:rsidRPr="00921D5F">
        <w:t>3</w:t>
      </w:r>
      <w:r w:rsidRPr="00921D5F">
        <w:t xml:space="preserve"> </w:t>
      </w:r>
      <w:r w:rsidR="00D54204" w:rsidRPr="00921D5F">
        <w:t>–</w:t>
      </w:r>
      <w:r w:rsidRPr="00921D5F">
        <w:t xml:space="preserve"> </w:t>
      </w:r>
      <w:r w:rsidR="00921D5F" w:rsidRPr="00921D5F">
        <w:t>Efficient</w:t>
      </w:r>
      <w:r w:rsidR="00921D5F">
        <w:t xml:space="preserve"> Operation and Maintenance of a service</w:t>
      </w:r>
    </w:p>
    <w:p w:rsidR="009E1230" w:rsidRPr="00460028" w:rsidRDefault="009E1230"/>
    <w:p w:rsidR="00460028" w:rsidRPr="00921D5F" w:rsidRDefault="00460028" w:rsidP="00E22226">
      <w:pPr>
        <w:pStyle w:val="Titel"/>
        <w:rPr>
          <w:lang w:val="de-DE"/>
        </w:rPr>
      </w:pPr>
      <w:r w:rsidRPr="00921D5F">
        <w:rPr>
          <w:lang w:val="de-DE"/>
        </w:rPr>
        <w:t>Table of Contents</w:t>
      </w:r>
    </w:p>
    <w:p w:rsidR="005207B2" w:rsidRPr="00D54204" w:rsidRDefault="00357ADE" w:rsidP="002D4569">
      <w:pPr>
        <w:pStyle w:val="Plattetekst"/>
        <w:rPr>
          <w:lang w:val="de-DE"/>
        </w:rPr>
      </w:pPr>
      <w:r>
        <w:rPr>
          <w:b/>
        </w:rPr>
        <w:fldChar w:fldCharType="begin"/>
      </w:r>
      <w:r w:rsidR="00E22226" w:rsidRPr="00D54204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D54204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:rsidR="00E22226" w:rsidRPr="00921D5F" w:rsidRDefault="00E22226" w:rsidP="00E22226">
      <w:pPr>
        <w:pStyle w:val="Titel"/>
        <w:rPr>
          <w:lang w:val="de-DE"/>
        </w:rPr>
      </w:pPr>
      <w:r w:rsidRPr="00921D5F">
        <w:rPr>
          <w:lang w:val="de-DE"/>
        </w:rPr>
        <w:t>Index of Tables</w:t>
      </w:r>
    </w:p>
    <w:p w:rsidR="00E22226" w:rsidRPr="00D54204" w:rsidRDefault="00357ADE" w:rsidP="00E22226">
      <w:pPr>
        <w:pStyle w:val="Plattetekst"/>
        <w:rPr>
          <w:lang w:val="de-DE"/>
        </w:rPr>
      </w:pPr>
      <w:r>
        <w:fldChar w:fldCharType="begin"/>
      </w:r>
      <w:r w:rsidR="00E22226" w:rsidRPr="00D54204">
        <w:rPr>
          <w:lang w:val="de-DE"/>
        </w:rPr>
        <w:instrText xml:space="preserve"> TOC \h \z \t "Table_#" \c </w:instrText>
      </w:r>
      <w:r>
        <w:fldChar w:fldCharType="separate"/>
      </w:r>
      <w:r w:rsidR="00D54204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2D4569" w:rsidRPr="00D54204" w:rsidRDefault="002D4569" w:rsidP="002D4569">
      <w:pPr>
        <w:pStyle w:val="Plattetekst"/>
        <w:rPr>
          <w:lang w:val="de-DE"/>
        </w:rPr>
      </w:pPr>
    </w:p>
    <w:p w:rsidR="002D4569" w:rsidRPr="00D54204" w:rsidRDefault="002D4569" w:rsidP="00D30727">
      <w:pPr>
        <w:pStyle w:val="Titel"/>
        <w:rPr>
          <w:lang w:val="de-DE"/>
        </w:rPr>
      </w:pPr>
      <w:r w:rsidRPr="00D54204">
        <w:rPr>
          <w:lang w:val="de-DE"/>
        </w:rPr>
        <w:t>Index of Figures</w:t>
      </w:r>
    </w:p>
    <w:p w:rsidR="002D4569" w:rsidRPr="00D54204" w:rsidRDefault="00357ADE" w:rsidP="002D4569">
      <w:pPr>
        <w:pStyle w:val="Plattetekst"/>
        <w:rPr>
          <w:lang w:val="de-DE"/>
        </w:rPr>
      </w:pPr>
      <w:r>
        <w:fldChar w:fldCharType="begin"/>
      </w:r>
      <w:r w:rsidR="002D4569" w:rsidRPr="00D54204">
        <w:rPr>
          <w:lang w:val="de-DE"/>
        </w:rPr>
        <w:instrText xml:space="preserve"> TOC \h \z \t "Figure_#" \c </w:instrText>
      </w:r>
      <w:r>
        <w:fldChar w:fldCharType="separate"/>
      </w:r>
      <w:r w:rsidR="00D54204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985597" w:rsidRDefault="00460028" w:rsidP="00D30727">
      <w:pPr>
        <w:pStyle w:val="Titel"/>
      </w:pPr>
      <w:r w:rsidRPr="00832853">
        <w:br w:type="page"/>
      </w:r>
      <w:r w:rsidR="005D08CF">
        <w:lastRenderedPageBreak/>
        <w:t>Appendix</w:t>
      </w:r>
      <w:r w:rsidR="00E22226">
        <w:t xml:space="preserve"> </w:t>
      </w:r>
      <w:r w:rsidR="00D54204">
        <w:t>1</w:t>
      </w:r>
      <w:r w:rsidR="00921D5F">
        <w:t>3</w:t>
      </w:r>
      <w:r w:rsidR="005D08CF">
        <w:t xml:space="preserve"> - </w:t>
      </w:r>
    </w:p>
    <w:p w:rsidR="009E1230" w:rsidRDefault="00921D5F" w:rsidP="00985597">
      <w:pPr>
        <w:pStyle w:val="Plattetek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Efficient Operation and Maintenance</w:t>
      </w:r>
      <w:r w:rsidR="00D54204">
        <w:rPr>
          <w:b/>
          <w:sz w:val="32"/>
          <w:szCs w:val="32"/>
        </w:rPr>
        <w:t xml:space="preserve"> of a service</w:t>
      </w:r>
    </w:p>
    <w:p w:rsidR="00D54204" w:rsidRDefault="00D54204" w:rsidP="00D54204">
      <w:pPr>
        <w:pStyle w:val="Kop1"/>
        <w:numPr>
          <w:ilvl w:val="0"/>
          <w:numId w:val="1"/>
        </w:numPr>
      </w:pPr>
      <w:bookmarkStart w:id="0" w:name="_Toc216489705"/>
      <w:r w:rsidRPr="009D52FE">
        <w:t>Introduction</w:t>
      </w:r>
      <w:bookmarkEnd w:id="0"/>
    </w:p>
    <w:p w:rsidR="00832853" w:rsidRPr="001022F4" w:rsidRDefault="00832853" w:rsidP="00D54204">
      <w:pPr>
        <w:pStyle w:val="Plattetekst"/>
        <w:rPr>
          <w:highlight w:val="yellow"/>
          <w:lang w:eastAsia="de-DE"/>
        </w:rPr>
      </w:pPr>
    </w:p>
    <w:p w:rsidR="00832853" w:rsidRPr="001022F4" w:rsidRDefault="00832853" w:rsidP="00D54204">
      <w:pPr>
        <w:pStyle w:val="Plattetekst"/>
        <w:rPr>
          <w:b/>
          <w:highlight w:val="yellow"/>
          <w:lang w:eastAsia="de-DE"/>
        </w:rPr>
      </w:pPr>
      <w:r w:rsidRPr="001022F4">
        <w:rPr>
          <w:b/>
          <w:highlight w:val="yellow"/>
          <w:lang w:eastAsia="de-DE"/>
        </w:rPr>
        <w:t>Defined level of Availability</w:t>
      </w:r>
    </w:p>
    <w:p w:rsidR="00832853" w:rsidRPr="001022F4" w:rsidRDefault="00832853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Different services may need a different level of availability.</w:t>
      </w:r>
    </w:p>
    <w:p w:rsidR="00D54204" w:rsidRPr="001022F4" w:rsidRDefault="00832853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For availability levels, refer to IALA Navguide 2014 (10.3.5), Chapter 8 “Performance Indicators”. The document provides detailed level calculation methods. Levels are Cat. I named “vital” with 99.8% availability, Cat. II named “important” with 99.0% availability and Cat. III named “necessary” with 97.0 % availability. It shall be noted that it no category is stated, still a minimum level of 95% availability has to be met.</w:t>
      </w:r>
    </w:p>
    <w:p w:rsidR="00832853" w:rsidRPr="001022F4" w:rsidRDefault="00832853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The administration may decide, which service requires which of the above levels of availability.</w:t>
      </w:r>
    </w:p>
    <w:p w:rsidR="00832853" w:rsidRPr="001022F4" w:rsidRDefault="00832853" w:rsidP="00D54204">
      <w:pPr>
        <w:pStyle w:val="Plattetekst"/>
        <w:rPr>
          <w:highlight w:val="yellow"/>
          <w:lang w:eastAsia="de-DE"/>
        </w:rPr>
      </w:pPr>
    </w:p>
    <w:p w:rsidR="00832853" w:rsidRPr="001022F4" w:rsidRDefault="00832853" w:rsidP="00D54204">
      <w:pPr>
        <w:pStyle w:val="Plattetekst"/>
        <w:rPr>
          <w:b/>
          <w:highlight w:val="yellow"/>
          <w:lang w:eastAsia="de-DE"/>
        </w:rPr>
      </w:pPr>
      <w:r w:rsidRPr="001022F4">
        <w:rPr>
          <w:b/>
          <w:highlight w:val="yellow"/>
          <w:lang w:eastAsia="de-DE"/>
        </w:rPr>
        <w:t>Established Service strategy</w:t>
      </w:r>
    </w:p>
    <w:p w:rsidR="00832853" w:rsidRPr="001022F4" w:rsidRDefault="001A08DD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The following criteria and considerations have to be met in order to not only achieve availability but at the same time manage it efficiently with reasonable resources and costs:  </w:t>
      </w:r>
    </w:p>
    <w:p w:rsidR="001A08DD" w:rsidRPr="001022F4" w:rsidRDefault="001A08DD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- Performance monitoring of services will be required.</w:t>
      </w:r>
    </w:p>
    <w:p w:rsidR="001A08DD" w:rsidRPr="001022F4" w:rsidRDefault="001A08DD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- System configuration is an important aspect in the areas of configuration management and software maintenance.</w:t>
      </w:r>
    </w:p>
    <w:p w:rsidR="001A08DD" w:rsidRPr="001022F4" w:rsidRDefault="001A08DD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-  Maintenance has to be provided in two areas, pre-emptive maintenance and corrective maintenance. Both may need different </w:t>
      </w:r>
      <w:r w:rsidR="003B10DB" w:rsidRPr="001022F4">
        <w:rPr>
          <w:highlight w:val="yellow"/>
          <w:lang w:eastAsia="de-DE"/>
        </w:rPr>
        <w:t>resources and materials.</w:t>
      </w:r>
    </w:p>
    <w:p w:rsidR="003B10DB" w:rsidRPr="001022F4" w:rsidRDefault="001A08DD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- Pre-emptive maintenance in the scope defined here includes both “condition-based” as well as “planned” maintenance. </w:t>
      </w:r>
      <w:r w:rsidR="003B10DB" w:rsidRPr="001022F4">
        <w:rPr>
          <w:highlight w:val="yellow"/>
          <w:lang w:eastAsia="de-DE"/>
        </w:rPr>
        <w:t>Developing a pre-emptive maintenance strategy is key not only to achieve high levels of availability but also to achieve these at reasonable costs. Establishment of an effective pre-emptive maintenance strategy will require to perform a failure analysis and FMEA, establish a spare parts policy and planning of a maintenance program.</w:t>
      </w:r>
    </w:p>
    <w:p w:rsidR="001A08DD" w:rsidRPr="001022F4" w:rsidRDefault="003B10DB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- Corrective maintenance is still required to handle any failures not covered by the pre-emptive maintenance mentioned above. The spare parts policy and staffing required may be different from the one required for pre-emptive maintenance.  </w:t>
      </w:r>
    </w:p>
    <w:p w:rsidR="009A269A" w:rsidRPr="001022F4" w:rsidRDefault="003B10DB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- Training and proficiency are critical items for successful maintenance. In particular extremely low failure rates of some of the modern equipment used</w:t>
      </w:r>
      <w:r w:rsidR="009A269A" w:rsidRPr="001022F4">
        <w:rPr>
          <w:highlight w:val="yellow"/>
          <w:lang w:eastAsia="de-DE"/>
        </w:rPr>
        <w:t xml:space="preserve"> present a challenge for staff proficiency.</w:t>
      </w:r>
    </w:p>
    <w:p w:rsidR="009A269A" w:rsidRPr="001022F4" w:rsidRDefault="009A269A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- Suitable logistics needs to be planned for transport of staff and materials.</w:t>
      </w:r>
    </w:p>
    <w:p w:rsidR="009A269A" w:rsidRPr="001022F4" w:rsidRDefault="009A269A" w:rsidP="00D54204">
      <w:pPr>
        <w:pStyle w:val="Plattetekst"/>
        <w:rPr>
          <w:highlight w:val="yellow"/>
          <w:lang w:eastAsia="de-DE"/>
        </w:rPr>
      </w:pPr>
    </w:p>
    <w:p w:rsidR="009A269A" w:rsidRPr="001022F4" w:rsidRDefault="009A269A" w:rsidP="00D54204">
      <w:pPr>
        <w:pStyle w:val="Plattetekst"/>
        <w:rPr>
          <w:b/>
          <w:highlight w:val="yellow"/>
          <w:lang w:eastAsia="de-DE"/>
        </w:rPr>
      </w:pPr>
      <w:r w:rsidRPr="001022F4">
        <w:rPr>
          <w:b/>
          <w:highlight w:val="yellow"/>
          <w:lang w:eastAsia="de-DE"/>
        </w:rPr>
        <w:t>Operations Staff</w:t>
      </w:r>
    </w:p>
    <w:p w:rsidR="009A269A" w:rsidRPr="001022F4" w:rsidRDefault="009A269A" w:rsidP="00D54204">
      <w:pPr>
        <w:pStyle w:val="Plattetekst"/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 Operations staff is key for efficient operation of a service. Particular items to consider are:</w:t>
      </w:r>
    </w:p>
    <w:p w:rsidR="009A269A" w:rsidRPr="001022F4" w:rsidRDefault="009A269A" w:rsidP="009A269A">
      <w:pPr>
        <w:pStyle w:val="Platteteks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Staffing levels need to be planned properly to cope with normal and exceptional situations.</w:t>
      </w:r>
      <w:r w:rsidR="00AB5967" w:rsidRPr="001022F4">
        <w:rPr>
          <w:highlight w:val="yellow"/>
          <w:lang w:eastAsia="de-DE"/>
        </w:rPr>
        <w:t xml:space="preserve"> </w:t>
      </w:r>
    </w:p>
    <w:p w:rsidR="00AB5967" w:rsidRPr="001022F4" w:rsidRDefault="00AB5967" w:rsidP="009A269A">
      <w:pPr>
        <w:pStyle w:val="Platteteks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>Staff training based on qualification and recurring performance monitoring is required.</w:t>
      </w:r>
    </w:p>
    <w:p w:rsidR="00AB5967" w:rsidRPr="001022F4" w:rsidRDefault="009A269A" w:rsidP="009A269A">
      <w:pPr>
        <w:pStyle w:val="Platteteks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Fatigue management is required. Some analysis needs to be done and measures developed. It is strongly suggested to make use of available experiences and solutions with </w:t>
      </w:r>
      <w:r w:rsidR="00AB5967" w:rsidRPr="001022F4">
        <w:rPr>
          <w:highlight w:val="yellow"/>
          <w:lang w:eastAsia="de-DE"/>
        </w:rPr>
        <w:t xml:space="preserve">organisations such as </w:t>
      </w:r>
      <w:r w:rsidRPr="001022F4">
        <w:rPr>
          <w:highlight w:val="yellow"/>
          <w:lang w:eastAsia="de-DE"/>
        </w:rPr>
        <w:t>military</w:t>
      </w:r>
      <w:r w:rsidR="00AB5967" w:rsidRPr="001022F4">
        <w:rPr>
          <w:highlight w:val="yellow"/>
          <w:lang w:eastAsia="de-DE"/>
        </w:rPr>
        <w:t xml:space="preserve"> or aviation.</w:t>
      </w:r>
    </w:p>
    <w:p w:rsidR="009A269A" w:rsidRPr="001022F4" w:rsidRDefault="00AB5967" w:rsidP="009A269A">
      <w:pPr>
        <w:pStyle w:val="Platteteks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lastRenderedPageBreak/>
        <w:t>Ergonomics contributes to efficient operation. As an example, workplaces with adjustable desk</w:t>
      </w:r>
      <w:r w:rsidR="009A269A" w:rsidRPr="001022F4">
        <w:rPr>
          <w:highlight w:val="yellow"/>
          <w:lang w:eastAsia="de-DE"/>
        </w:rPr>
        <w:t xml:space="preserve"> </w:t>
      </w:r>
      <w:r w:rsidRPr="001022F4">
        <w:rPr>
          <w:highlight w:val="yellow"/>
          <w:lang w:eastAsia="de-DE"/>
        </w:rPr>
        <w:t>height may allow staff to either sit or stand at their convenience. The IMO HCD circular provides good guidance.</w:t>
      </w:r>
    </w:p>
    <w:p w:rsidR="00AB5967" w:rsidRPr="001022F4" w:rsidRDefault="002B46C6" w:rsidP="009A269A">
      <w:pPr>
        <w:pStyle w:val="Plattetekst"/>
        <w:numPr>
          <w:ilvl w:val="0"/>
          <w:numId w:val="31"/>
        </w:numPr>
        <w:rPr>
          <w:highlight w:val="yellow"/>
          <w:lang w:eastAsia="de-DE"/>
        </w:rPr>
      </w:pPr>
      <w:r w:rsidRPr="001022F4">
        <w:rPr>
          <w:highlight w:val="yellow"/>
          <w:lang w:eastAsia="de-DE"/>
        </w:rPr>
        <w:t xml:space="preserve">The authority needs </w:t>
      </w:r>
      <w:r w:rsidR="00353034" w:rsidRPr="001022F4">
        <w:rPr>
          <w:highlight w:val="yellow"/>
          <w:lang w:eastAsia="de-DE"/>
        </w:rPr>
        <w:t>to decide</w:t>
      </w:r>
      <w:r w:rsidRPr="001022F4">
        <w:rPr>
          <w:highlight w:val="yellow"/>
          <w:lang w:eastAsia="de-DE"/>
        </w:rPr>
        <w:t xml:space="preserve"> on applicable industry standards for safety, workplace design and the environment. </w:t>
      </w:r>
    </w:p>
    <w:p w:rsidR="003B10DB" w:rsidRDefault="003B10DB" w:rsidP="00D54204">
      <w:pPr>
        <w:pStyle w:val="Plattetekst"/>
        <w:rPr>
          <w:lang w:eastAsia="de-DE"/>
        </w:rPr>
      </w:pPr>
      <w:r>
        <w:rPr>
          <w:lang w:eastAsia="de-DE"/>
        </w:rPr>
        <w:t xml:space="preserve"> </w:t>
      </w:r>
    </w:p>
    <w:p w:rsidR="001A08DD" w:rsidRDefault="001A08DD" w:rsidP="00D54204">
      <w:pPr>
        <w:pStyle w:val="Plattetekst"/>
        <w:rPr>
          <w:lang w:eastAsia="de-DE"/>
        </w:rPr>
      </w:pPr>
      <w:r>
        <w:rPr>
          <w:lang w:eastAsia="de-DE"/>
        </w:rPr>
        <w:t xml:space="preserve"> </w:t>
      </w:r>
    </w:p>
    <w:p w:rsidR="00832853" w:rsidRDefault="00832853" w:rsidP="00D54204">
      <w:pPr>
        <w:pStyle w:val="Plattetekst"/>
        <w:rPr>
          <w:lang w:eastAsia="de-DE"/>
        </w:rPr>
      </w:pPr>
    </w:p>
    <w:p w:rsidR="00832853" w:rsidRDefault="00832853" w:rsidP="00D54204">
      <w:pPr>
        <w:pStyle w:val="Plattetekst"/>
        <w:rPr>
          <w:lang w:eastAsia="de-DE"/>
        </w:rPr>
      </w:pPr>
    </w:p>
    <w:p w:rsidR="00832853" w:rsidRDefault="00832853" w:rsidP="00D54204">
      <w:pPr>
        <w:pStyle w:val="Plattetekst"/>
        <w:rPr>
          <w:lang w:eastAsia="de-DE"/>
        </w:rPr>
      </w:pPr>
    </w:p>
    <w:p w:rsidR="00832853" w:rsidRDefault="00832853" w:rsidP="00D54204">
      <w:pPr>
        <w:pStyle w:val="Plattetekst"/>
        <w:rPr>
          <w:lang w:eastAsia="de-DE"/>
        </w:rPr>
      </w:pPr>
    </w:p>
    <w:p w:rsidR="00D54204" w:rsidRPr="00985597" w:rsidRDefault="00D54204" w:rsidP="00832853">
      <w:pPr>
        <w:pStyle w:val="Plattetekst"/>
        <w:jc w:val="left"/>
        <w:rPr>
          <w:b/>
          <w:sz w:val="32"/>
          <w:szCs w:val="32"/>
        </w:rPr>
      </w:pPr>
    </w:p>
    <w:sectPr w:rsidR="00D54204" w:rsidRPr="00985597" w:rsidSect="00AB2F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8F8" w:rsidRDefault="001B28F8" w:rsidP="009E1230">
      <w:r>
        <w:separator/>
      </w:r>
    </w:p>
  </w:endnote>
  <w:endnote w:type="continuationSeparator" w:id="0">
    <w:p w:rsidR="001B28F8" w:rsidRDefault="001B28F8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DD" w:rsidRDefault="000C38DD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357ADE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357ADE" w:rsidRPr="008136BC">
      <w:rPr>
        <w:lang w:val="en-US"/>
      </w:rPr>
      <w:fldChar w:fldCharType="separate"/>
    </w:r>
    <w:r w:rsidR="000C38DD">
      <w:rPr>
        <w:noProof/>
        <w:lang w:val="en-US"/>
      </w:rPr>
      <w:t>2</w:t>
    </w:r>
    <w:r w:rsidR="00357ADE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357ADE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357ADE" w:rsidRPr="008136BC">
      <w:rPr>
        <w:lang w:val="en-US"/>
      </w:rPr>
      <w:fldChar w:fldCharType="separate"/>
    </w:r>
    <w:r w:rsidR="000C38DD">
      <w:rPr>
        <w:noProof/>
        <w:lang w:val="en-US"/>
      </w:rPr>
      <w:t>5</w:t>
    </w:r>
    <w:r w:rsidR="00357ADE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DD" w:rsidRDefault="000C38D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8F8" w:rsidRDefault="001B28F8" w:rsidP="009E1230">
      <w:r>
        <w:separator/>
      </w:r>
    </w:p>
  </w:footnote>
  <w:footnote w:type="continuationSeparator" w:id="0">
    <w:p w:rsidR="001B28F8" w:rsidRDefault="001B28F8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DD" w:rsidRDefault="000C38DD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C" w:rsidRPr="00D54204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D54204">
      <w:t xml:space="preserve">Appendix </w:t>
    </w:r>
    <w:r w:rsidR="00D54204" w:rsidRPr="00D54204">
      <w:t>1</w:t>
    </w:r>
    <w:r w:rsidR="00921D5F">
      <w:t>3</w:t>
    </w:r>
    <w:r w:rsidR="005D08CF" w:rsidRPr="00D54204">
      <w:t xml:space="preserve"> </w:t>
    </w:r>
    <w:r w:rsidR="00D54204" w:rsidRPr="00D54204">
      <w:t>–</w:t>
    </w:r>
    <w:r w:rsidR="005D08CF" w:rsidRPr="00D54204">
      <w:t xml:space="preserve"> </w:t>
    </w:r>
    <w:r w:rsidR="00921D5F">
      <w:t>Efficient Operation and Maintenance</w:t>
    </w:r>
  </w:p>
  <w:p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0E" w:rsidRPr="000C38DD" w:rsidRDefault="000C38DD" w:rsidP="000C38DD">
    <w:pPr>
      <w:pStyle w:val="Koptekst"/>
      <w:jc w:val="right"/>
    </w:pPr>
    <w:r w:rsidRPr="000C38DD">
      <w:t>ENAV15-14.2.26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6D830FF"/>
    <w:multiLevelType w:val="hybridMultilevel"/>
    <w:tmpl w:val="6A12D42A"/>
    <w:lvl w:ilvl="0" w:tplc="59D6DD9C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1"/>
  </w:num>
  <w:num w:numId="7">
    <w:abstractNumId w:val="15"/>
  </w:num>
  <w:num w:numId="8">
    <w:abstractNumId w:val="19"/>
  </w:num>
  <w:num w:numId="9">
    <w:abstractNumId w:val="11"/>
  </w:num>
  <w:num w:numId="10">
    <w:abstractNumId w:val="23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2"/>
  </w:num>
  <w:num w:numId="29">
    <w:abstractNumId w:val="22"/>
  </w:num>
  <w:num w:numId="30">
    <w:abstractNumId w:val="22"/>
  </w:num>
  <w:num w:numId="3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97E"/>
    <w:rsid w:val="000420D8"/>
    <w:rsid w:val="0004410E"/>
    <w:rsid w:val="000448A8"/>
    <w:rsid w:val="00070873"/>
    <w:rsid w:val="000C38DD"/>
    <w:rsid w:val="000D7400"/>
    <w:rsid w:val="001022F4"/>
    <w:rsid w:val="00104885"/>
    <w:rsid w:val="00122301"/>
    <w:rsid w:val="00134673"/>
    <w:rsid w:val="00184986"/>
    <w:rsid w:val="001A08DD"/>
    <w:rsid w:val="001B28F8"/>
    <w:rsid w:val="001D3B7C"/>
    <w:rsid w:val="001D7306"/>
    <w:rsid w:val="001E7399"/>
    <w:rsid w:val="001F045B"/>
    <w:rsid w:val="00207EE6"/>
    <w:rsid w:val="00274C38"/>
    <w:rsid w:val="0027676C"/>
    <w:rsid w:val="002B0D6C"/>
    <w:rsid w:val="002B46C6"/>
    <w:rsid w:val="002D4569"/>
    <w:rsid w:val="0032752D"/>
    <w:rsid w:val="00351DF6"/>
    <w:rsid w:val="00353034"/>
    <w:rsid w:val="00357ADE"/>
    <w:rsid w:val="00370529"/>
    <w:rsid w:val="00395D68"/>
    <w:rsid w:val="003A4769"/>
    <w:rsid w:val="003B10DB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E16FF"/>
    <w:rsid w:val="004E43E8"/>
    <w:rsid w:val="004F72F9"/>
    <w:rsid w:val="005207B2"/>
    <w:rsid w:val="00582569"/>
    <w:rsid w:val="005A79A1"/>
    <w:rsid w:val="005B2BD9"/>
    <w:rsid w:val="005C24F3"/>
    <w:rsid w:val="005D08CF"/>
    <w:rsid w:val="005F188D"/>
    <w:rsid w:val="006052C5"/>
    <w:rsid w:val="006600A1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32853"/>
    <w:rsid w:val="00857962"/>
    <w:rsid w:val="008931CC"/>
    <w:rsid w:val="008B3CBD"/>
    <w:rsid w:val="00921872"/>
    <w:rsid w:val="00921D5F"/>
    <w:rsid w:val="0093390E"/>
    <w:rsid w:val="00945E3E"/>
    <w:rsid w:val="009504E2"/>
    <w:rsid w:val="00956293"/>
    <w:rsid w:val="00985597"/>
    <w:rsid w:val="009928CF"/>
    <w:rsid w:val="009A269A"/>
    <w:rsid w:val="009B28ED"/>
    <w:rsid w:val="009B30D7"/>
    <w:rsid w:val="009C22FA"/>
    <w:rsid w:val="009C3998"/>
    <w:rsid w:val="009D7A94"/>
    <w:rsid w:val="009E1230"/>
    <w:rsid w:val="009F55FD"/>
    <w:rsid w:val="00A13CBA"/>
    <w:rsid w:val="00A27A7A"/>
    <w:rsid w:val="00A3352D"/>
    <w:rsid w:val="00A6234F"/>
    <w:rsid w:val="00A750CA"/>
    <w:rsid w:val="00AA2A80"/>
    <w:rsid w:val="00AB2FA0"/>
    <w:rsid w:val="00AB5265"/>
    <w:rsid w:val="00AB5967"/>
    <w:rsid w:val="00AB5CAB"/>
    <w:rsid w:val="00AC0741"/>
    <w:rsid w:val="00AC2C6D"/>
    <w:rsid w:val="00AC4EAC"/>
    <w:rsid w:val="00AE3102"/>
    <w:rsid w:val="00AE5700"/>
    <w:rsid w:val="00AF615B"/>
    <w:rsid w:val="00B034B0"/>
    <w:rsid w:val="00B04E05"/>
    <w:rsid w:val="00B122F4"/>
    <w:rsid w:val="00B36C94"/>
    <w:rsid w:val="00B43C65"/>
    <w:rsid w:val="00B63B46"/>
    <w:rsid w:val="00B67FA6"/>
    <w:rsid w:val="00B70C4C"/>
    <w:rsid w:val="00B7413A"/>
    <w:rsid w:val="00B76755"/>
    <w:rsid w:val="00B91264"/>
    <w:rsid w:val="00BD5B33"/>
    <w:rsid w:val="00C23159"/>
    <w:rsid w:val="00C528B9"/>
    <w:rsid w:val="00C531DA"/>
    <w:rsid w:val="00C8750E"/>
    <w:rsid w:val="00C97FD2"/>
    <w:rsid w:val="00CA598F"/>
    <w:rsid w:val="00CA68FE"/>
    <w:rsid w:val="00CB4864"/>
    <w:rsid w:val="00CC4B2D"/>
    <w:rsid w:val="00CC63EA"/>
    <w:rsid w:val="00CD7575"/>
    <w:rsid w:val="00D05833"/>
    <w:rsid w:val="00D128D4"/>
    <w:rsid w:val="00D2145F"/>
    <w:rsid w:val="00D30727"/>
    <w:rsid w:val="00D52150"/>
    <w:rsid w:val="00D54204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B22A4"/>
    <w:rsid w:val="00EC597E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775F41B-3386-45DF-BE5E-46B0593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9D9D-8A7A-441C-870D-2E25260CD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3729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5</cp:revision>
  <cp:lastPrinted>2008-12-16T06:04:00Z</cp:lastPrinted>
  <dcterms:created xsi:type="dcterms:W3CDTF">2014-09-04T08:59:00Z</dcterms:created>
  <dcterms:modified xsi:type="dcterms:W3CDTF">2014-10-16T12:10:00Z</dcterms:modified>
</cp:coreProperties>
</file>